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60DF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bookmarkEnd w:id="0"/>
    </w:p>
    <w:p w:rsidR="00000000" w:rsidRDefault="004760DF">
      <w:pPr>
        <w:spacing w:line="580" w:lineRule="exact"/>
        <w:jc w:val="both"/>
        <w:rPr>
          <w:rFonts w:eastAsia="黑体"/>
          <w:w w:val="95"/>
          <w:sz w:val="44"/>
          <w:szCs w:val="44"/>
        </w:rPr>
      </w:pPr>
    </w:p>
    <w:p w:rsidR="00000000" w:rsidRDefault="004760DF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4760DF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4760DF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4760DF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天津市统计局（本级）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预算</w:t>
      </w:r>
    </w:p>
    <w:p w:rsidR="00000000" w:rsidRDefault="004760DF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4760DF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4760DF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000000" w:rsidRDefault="004760DF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</w:t>
      </w:r>
      <w:r>
        <w:rPr>
          <w:rFonts w:ascii="仿宋_GB2312" w:eastAsia="仿宋_GB2312" w:hAnsi="Times New Roman" w:hint="eastAsia"/>
          <w:b/>
          <w:sz w:val="30"/>
          <w:szCs w:val="30"/>
        </w:rPr>
        <w:t>单位</w:t>
      </w:r>
      <w:r>
        <w:rPr>
          <w:rFonts w:ascii="仿宋_GB2312" w:eastAsia="仿宋_GB2312" w:hAnsi="Times New Roman" w:hint="eastAsia"/>
          <w:b/>
          <w:sz w:val="30"/>
          <w:szCs w:val="30"/>
        </w:rPr>
        <w:t>预算情况说明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</w:t>
      </w:r>
      <w:r>
        <w:rPr>
          <w:rFonts w:ascii="仿宋_GB2312" w:eastAsia="仿宋_GB2312" w:hAnsi="Times New Roman" w:hint="eastAsia"/>
          <w:sz w:val="30"/>
          <w:szCs w:val="30"/>
        </w:rPr>
        <w:t>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</w:t>
      </w:r>
      <w:r>
        <w:rPr>
          <w:rFonts w:ascii="仿宋_GB2312" w:eastAsia="仿宋_GB2312" w:hAnsi="Times New Roman" w:hint="eastAsia"/>
          <w:sz w:val="30"/>
          <w:szCs w:val="30"/>
        </w:rPr>
        <w:t>出情况表的说明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</w:t>
      </w:r>
      <w:r>
        <w:rPr>
          <w:rFonts w:ascii="仿宋_GB2312" w:eastAsia="仿宋_GB2312" w:hAnsi="Times New Roman" w:hint="eastAsia"/>
          <w:b/>
          <w:sz w:val="30"/>
          <w:szCs w:val="30"/>
        </w:rPr>
        <w:t>单位</w:t>
      </w:r>
      <w:r>
        <w:rPr>
          <w:rFonts w:ascii="仿宋_GB2312" w:eastAsia="仿宋_GB2312" w:hAnsi="Times New Roman" w:hint="eastAsia"/>
          <w:b/>
          <w:sz w:val="30"/>
          <w:szCs w:val="30"/>
        </w:rPr>
        <w:t>预算表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收支总体情况表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收入总体情况表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</w:t>
      </w:r>
      <w:r>
        <w:rPr>
          <w:rFonts w:ascii="仿宋_GB2312" w:eastAsia="仿宋_GB2312" w:hAnsi="Times New Roman" w:hint="eastAsia"/>
          <w:sz w:val="30"/>
          <w:szCs w:val="30"/>
        </w:rPr>
        <w:t>单位</w:t>
      </w:r>
      <w:r>
        <w:rPr>
          <w:rFonts w:ascii="仿宋_GB2312" w:eastAsia="仿宋_GB2312" w:hAnsi="Times New Roman" w:hint="eastAsia"/>
          <w:sz w:val="30"/>
          <w:szCs w:val="30"/>
        </w:rPr>
        <w:t>支出总体情况表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000000" w:rsidRDefault="004760DF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000000" w:rsidRDefault="004760DF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000000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000000" w:rsidRDefault="004760DF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</w:p>
    <w:p w:rsidR="00000000" w:rsidRDefault="004760DF">
      <w:pPr>
        <w:spacing w:line="600" w:lineRule="exact"/>
        <w:rPr>
          <w:rFonts w:hint="eastAsia"/>
        </w:rPr>
      </w:pPr>
    </w:p>
    <w:p w:rsidR="00000000" w:rsidRDefault="004760DF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</w:t>
      </w:r>
      <w:r>
        <w:rPr>
          <w:rFonts w:ascii="黑体" w:eastAsia="黑体" w:hAnsi="黑体" w:hint="eastAsia"/>
          <w:sz w:val="30"/>
          <w:szCs w:val="30"/>
        </w:rPr>
        <w:t>责</w:t>
      </w:r>
      <w:bookmarkEnd w:id="2"/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3" w:name="_Toc78784556"/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为市政府直属机构，负责全市经济社会发展统计和国民经济核算工作，主要职责是：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贯彻执行国家有关统计的法律、法规、规章，研究起草有关地方性法规、政府规章草案，并组织实施。拟订全市统计事业发展规划和政策。组织领导和协调全市统计工作，确保统计数据真实、准确、完整、及时。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负责贯彻执行国民经济核算体系，组织实施全市及各区国民经济核算制度和全市投入产出调查，核算全市及各区地区生产总值，汇编提供国民经济核算资料，监督管理各区国民经济核算工作。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会同有关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拟订本市重大国情国力普查计划、</w:t>
      </w:r>
      <w:r>
        <w:rPr>
          <w:rFonts w:eastAsia="仿宋_GB2312" w:hint="eastAsia"/>
          <w:sz w:val="30"/>
          <w:szCs w:val="30"/>
        </w:rPr>
        <w:t>方案，组织实施全市人口、经济、农业等重大国情国力普查，汇总、整理和提供有关国情国力方面的统计数据。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组织实施全市国民经济各行业的统计调查，收集、汇总、整理和提供有关调查的统计数据。综合整理和提供地质勘查、旅游、教育、卫生、社会保障、公用事业等全市性基本统计数据。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组织实施能源、投资、消费、科技、人口、社会发展基本情况、环境基本状况等统计调查，收集、汇总、整理和提供有关调查的统计数据。综合整理和提供资源、房屋、对外贸易、对外经济等全市</w:t>
      </w:r>
      <w:r>
        <w:rPr>
          <w:rFonts w:eastAsia="仿宋_GB2312" w:hint="eastAsia"/>
          <w:sz w:val="30"/>
          <w:szCs w:val="30"/>
        </w:rPr>
        <w:lastRenderedPageBreak/>
        <w:t>性基本统计数据。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组织各区、各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的经济、社会、科技和资源环境统</w:t>
      </w:r>
      <w:r>
        <w:rPr>
          <w:rFonts w:eastAsia="仿宋_GB2312" w:hint="eastAsia"/>
          <w:sz w:val="30"/>
          <w:szCs w:val="30"/>
        </w:rPr>
        <w:t>计调查。统一核定、管理、公布全市性基本统计资料。定期发布全市国民经济和社会发展情况的统计信息。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对国民经济、社会发展、科技进步和资源环境等情况进行统计分析、统计预测和统计监督，向市委、市政府及有关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提供统计信息和咨询建议。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8.</w:t>
      </w:r>
      <w:r>
        <w:rPr>
          <w:rFonts w:eastAsia="仿宋_GB2312" w:hint="eastAsia"/>
          <w:sz w:val="30"/>
          <w:szCs w:val="30"/>
        </w:rPr>
        <w:t>组织实施国家统计标准，制定和修订地方统计标准。依法审批市级各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、各区统计调查项目。指导专业统计基础工作、统计基层业务基础建设，建立服务业统计信息管理制度，建立健全统计数据质量审核、监控和评估制度，开展对重要统计数据的审核、监控和评估，依法监督管理涉外调查活动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9.</w:t>
      </w:r>
      <w:r>
        <w:rPr>
          <w:rFonts w:eastAsia="仿宋_GB2312" w:hint="eastAsia"/>
          <w:sz w:val="30"/>
          <w:szCs w:val="30"/>
        </w:rPr>
        <w:t>协助各区管</w:t>
      </w:r>
      <w:r>
        <w:rPr>
          <w:rFonts w:eastAsia="仿宋_GB2312" w:hint="eastAsia"/>
          <w:sz w:val="30"/>
          <w:szCs w:val="30"/>
        </w:rPr>
        <w:t>理区统计局局长和副局长，指导全市统计专业技术队伍建设，会同有关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组织管理全市统计专业资格考试、职称评审工作，监督管理市政府统计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下拨给区政府统计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的中央统计业务费。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10.</w:t>
      </w:r>
      <w:r>
        <w:rPr>
          <w:rFonts w:eastAsia="仿宋_GB2312" w:hint="eastAsia"/>
          <w:sz w:val="30"/>
          <w:szCs w:val="30"/>
        </w:rPr>
        <w:t>建立并管理全市统计信息自动化系统和统计数据库系统，组织制定各区、各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统计数据库和网络的基本标准和运行规则，指导区统计信息化系统建设。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11.</w:t>
      </w:r>
      <w:r>
        <w:rPr>
          <w:rFonts w:eastAsia="仿宋_GB2312" w:hint="eastAsia"/>
          <w:sz w:val="30"/>
          <w:szCs w:val="30"/>
        </w:rPr>
        <w:t>承办市委、市政府部署的各类考核内容相关的统计工作。负责与各省、自治区、直辖市及相关城市、区域间的统计资料交换工作。</w:t>
      </w:r>
    </w:p>
    <w:p w:rsidR="00000000" w:rsidRDefault="004760DF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12.</w:t>
      </w:r>
      <w:r>
        <w:rPr>
          <w:rFonts w:eastAsia="仿宋_GB2312" w:hint="eastAsia"/>
          <w:sz w:val="30"/>
          <w:szCs w:val="30"/>
        </w:rPr>
        <w:t>承办市委、市政府和国家统计局交办的其他事项</w:t>
      </w:r>
      <w:r>
        <w:rPr>
          <w:rFonts w:eastAsia="仿宋_GB2312"/>
          <w:sz w:val="30"/>
          <w:szCs w:val="30"/>
        </w:rPr>
        <w:t>。</w:t>
      </w:r>
    </w:p>
    <w:p w:rsidR="00000000" w:rsidRDefault="004760DF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000000" w:rsidRDefault="004760D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  <w:highlight w:val="yellow"/>
        </w:rPr>
      </w:pPr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 w:hint="eastAsia"/>
          <w:sz w:val="30"/>
          <w:szCs w:val="30"/>
        </w:rPr>
        <w:t>统计局（本级）</w:t>
      </w:r>
      <w:r>
        <w:rPr>
          <w:rFonts w:eastAsia="仿宋_GB2312" w:hint="eastAsia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个职能处室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spacing w:line="600" w:lineRule="exact"/>
        <w:ind w:firstLine="600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4760DF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000000" w:rsidRDefault="004760DF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4760DF">
      <w:pPr>
        <w:spacing w:line="600" w:lineRule="exact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按照综合预算的原则，</w:t>
      </w: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所有收入和支出均纳入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预算管理。收入包括：一般公共预算拨款收入</w:t>
      </w:r>
      <w:r>
        <w:rPr>
          <w:rFonts w:eastAsia="仿宋_GB2312" w:hint="eastAsia"/>
          <w:sz w:val="30"/>
          <w:szCs w:val="30"/>
        </w:rPr>
        <w:t>5779.1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其他收入</w:t>
      </w:r>
      <w:r>
        <w:rPr>
          <w:rFonts w:eastAsia="仿宋_GB2312" w:hint="eastAsia"/>
          <w:sz w:val="30"/>
          <w:szCs w:val="30"/>
        </w:rPr>
        <w:t>0.2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105.0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>
        <w:rPr>
          <w:rFonts w:eastAsia="仿宋_GB2312" w:hint="eastAsia"/>
          <w:sz w:val="30"/>
          <w:szCs w:val="30"/>
        </w:rPr>
        <w:t>5079.0</w:t>
      </w:r>
      <w:r>
        <w:rPr>
          <w:rFonts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 w:hint="eastAsia"/>
          <w:sz w:val="30"/>
          <w:szCs w:val="30"/>
        </w:rPr>
        <w:t>528.4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 w:hint="eastAsia"/>
          <w:sz w:val="30"/>
          <w:szCs w:val="30"/>
        </w:rPr>
        <w:t>275.2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0"/>
          <w:szCs w:val="30"/>
        </w:rPr>
        <w:t>债务付息支出</w:t>
      </w:r>
      <w:r>
        <w:rPr>
          <w:rFonts w:eastAsia="仿宋_GB2312" w:hint="eastAsia"/>
          <w:sz w:val="30"/>
          <w:szCs w:val="30"/>
        </w:rPr>
        <w:t>1.7</w:t>
      </w:r>
      <w:r>
        <w:rPr>
          <w:rFonts w:ascii="Times New Roman" w:eastAsia="仿宋_GB2312" w:hAnsi="Times New Roman" w:cs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 w:hint="eastAsia"/>
          <w:sz w:val="30"/>
          <w:szCs w:val="30"/>
        </w:rPr>
        <w:t>5884.3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000000" w:rsidRDefault="004760D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7" w:name="_Toc78784573"/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 w:hint="eastAsia"/>
          <w:sz w:val="30"/>
          <w:szCs w:val="30"/>
        </w:rPr>
        <w:t>5884.3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400.2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 w:hint="eastAsia"/>
          <w:sz w:val="30"/>
          <w:szCs w:val="30"/>
        </w:rPr>
        <w:t>105.0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，占</w:t>
      </w: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；一般公共预算</w:t>
      </w:r>
      <w:r>
        <w:rPr>
          <w:rFonts w:eastAsia="仿宋_GB2312" w:hint="eastAsia"/>
          <w:sz w:val="30"/>
          <w:szCs w:val="30"/>
        </w:rPr>
        <w:t>5779.1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98.2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其他收入</w:t>
      </w:r>
      <w:r>
        <w:rPr>
          <w:rFonts w:eastAsia="仿宋_GB2312" w:hint="eastAsia"/>
          <w:sz w:val="30"/>
          <w:szCs w:val="30"/>
        </w:rPr>
        <w:t>0.2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占</w:t>
      </w:r>
      <w:r>
        <w:rPr>
          <w:rFonts w:eastAsia="仿宋_GB2312" w:hint="eastAsia"/>
          <w:sz w:val="30"/>
          <w:szCs w:val="30"/>
        </w:rPr>
        <w:t>0.0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000000" w:rsidRDefault="004760DF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 w:hint="eastAsia"/>
          <w:sz w:val="30"/>
          <w:szCs w:val="30"/>
        </w:rPr>
        <w:t>5884.3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400.2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</w:t>
      </w:r>
      <w:r>
        <w:rPr>
          <w:rFonts w:eastAsia="仿宋_GB2312"/>
          <w:sz w:val="30"/>
          <w:szCs w:val="30"/>
        </w:rPr>
        <w:t>：基本支出</w:t>
      </w:r>
      <w:r>
        <w:rPr>
          <w:rFonts w:eastAsia="仿宋_GB2312" w:hint="eastAsia"/>
          <w:sz w:val="30"/>
          <w:szCs w:val="30"/>
        </w:rPr>
        <w:t>5179.4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88.0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lastRenderedPageBreak/>
        <w:t>项目支出</w:t>
      </w:r>
      <w:r>
        <w:rPr>
          <w:rFonts w:eastAsia="仿宋_GB2312" w:hint="eastAsia"/>
          <w:sz w:val="30"/>
          <w:szCs w:val="30"/>
        </w:rPr>
        <w:t>704.9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4760DF">
      <w:pPr>
        <w:spacing w:line="600" w:lineRule="exact"/>
        <w:ind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 w:hint="eastAsia"/>
          <w:sz w:val="30"/>
          <w:szCs w:val="30"/>
        </w:rPr>
        <w:t>5884.1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400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 w:hint="eastAsia"/>
          <w:sz w:val="30"/>
          <w:szCs w:val="30"/>
        </w:rPr>
        <w:t>5779.1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 w:hint="eastAsia"/>
          <w:sz w:val="30"/>
          <w:szCs w:val="30"/>
        </w:rPr>
        <w:t>105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 w:hint="eastAsia"/>
          <w:sz w:val="30"/>
          <w:szCs w:val="30"/>
        </w:rPr>
        <w:t>5884.1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400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 w:hint="eastAsia"/>
          <w:sz w:val="30"/>
          <w:szCs w:val="30"/>
        </w:rPr>
        <w:t>。支出包括：一般</w:t>
      </w:r>
      <w:r>
        <w:rPr>
          <w:rFonts w:eastAsia="仿宋_GB2312" w:hint="eastAsia"/>
          <w:sz w:val="30"/>
          <w:szCs w:val="30"/>
        </w:rPr>
        <w:t>公共服务支出</w:t>
      </w:r>
      <w:r>
        <w:rPr>
          <w:rFonts w:eastAsia="仿宋_GB2312" w:hint="eastAsia"/>
          <w:sz w:val="30"/>
          <w:szCs w:val="30"/>
        </w:rPr>
        <w:t>5078.8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 w:hint="eastAsia"/>
          <w:sz w:val="30"/>
          <w:szCs w:val="30"/>
        </w:rPr>
        <w:t>528.4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 w:hint="eastAsia"/>
          <w:sz w:val="30"/>
          <w:szCs w:val="30"/>
        </w:rPr>
        <w:t>275.2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0"/>
          <w:szCs w:val="30"/>
        </w:rPr>
        <w:t>债务付息支出</w:t>
      </w:r>
      <w:r>
        <w:rPr>
          <w:rFonts w:ascii="Times New Roman" w:eastAsia="仿宋_GB2312" w:hAnsi="Times New Roman" w:cs="仿宋_GB2312" w:hint="eastAsia"/>
          <w:sz w:val="30"/>
          <w:szCs w:val="30"/>
        </w:rPr>
        <w:t>1.7</w:t>
      </w:r>
      <w:r>
        <w:rPr>
          <w:rFonts w:ascii="Times New Roman" w:eastAsia="仿宋_GB2312" w:hAnsi="Times New Roman" w:cs="仿宋_GB2312" w:hint="eastAsia"/>
          <w:sz w:val="30"/>
          <w:szCs w:val="30"/>
        </w:rPr>
        <w:t>万元。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4760DF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000000" w:rsidRDefault="004760D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 w:hint="eastAsia"/>
          <w:sz w:val="30"/>
          <w:szCs w:val="30"/>
        </w:rPr>
        <w:t>5884.1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400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numPr>
          <w:ilvl w:val="0"/>
          <w:numId w:val="1"/>
        </w:numPr>
        <w:spacing w:line="600" w:lineRule="exact"/>
        <w:ind w:firstLineChars="200" w:firstLine="602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4760DF">
      <w:pPr>
        <w:spacing w:line="580" w:lineRule="exact"/>
        <w:ind w:left="11" w:firstLineChars="146" w:firstLine="43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“一般公共服务支出”</w:t>
      </w:r>
      <w:r>
        <w:rPr>
          <w:rFonts w:eastAsia="仿宋_GB2312" w:hint="eastAsia"/>
          <w:sz w:val="30"/>
          <w:szCs w:val="30"/>
        </w:rPr>
        <w:t>5078.8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303.6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机构改革，执法大队撤销，人员转局本级，基本支出增加，</w:t>
      </w:r>
      <w:r>
        <w:rPr>
          <w:rFonts w:eastAsia="仿宋_GB2312"/>
          <w:sz w:val="30"/>
          <w:szCs w:val="30"/>
        </w:rPr>
        <w:t>其中：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“统计信</w:t>
      </w:r>
      <w:r>
        <w:rPr>
          <w:rFonts w:eastAsia="仿宋_GB2312" w:hint="eastAsia"/>
          <w:sz w:val="30"/>
          <w:szCs w:val="30"/>
        </w:rPr>
        <w:t>息事务</w:t>
      </w:r>
      <w:r>
        <w:rPr>
          <w:rFonts w:eastAsia="仿宋_GB2312" w:hint="eastAsia"/>
          <w:sz w:val="30"/>
          <w:szCs w:val="30"/>
        </w:rPr>
        <w:t>5078.8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 w:hint="eastAsia"/>
          <w:sz w:val="30"/>
          <w:szCs w:val="30"/>
        </w:rPr>
        <w:t>4375.6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lastRenderedPageBreak/>
        <w:t>主要用于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“专项统计业务”</w:t>
      </w:r>
      <w:r>
        <w:rPr>
          <w:rFonts w:eastAsia="仿宋_GB2312" w:hint="eastAsia"/>
          <w:sz w:val="30"/>
          <w:szCs w:val="30"/>
        </w:rPr>
        <w:t>365.4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统计数据平台系统运维保障项目</w:t>
      </w:r>
      <w:r>
        <w:rPr>
          <w:rFonts w:eastAsia="仿宋_GB2312" w:hint="eastAsia"/>
          <w:sz w:val="30"/>
          <w:szCs w:val="30"/>
        </w:rPr>
        <w:t>等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“专项普查活动”</w:t>
      </w:r>
      <w:r>
        <w:rPr>
          <w:rFonts w:eastAsia="仿宋_GB2312" w:hint="eastAsia"/>
          <w:sz w:val="30"/>
          <w:szCs w:val="30"/>
        </w:rPr>
        <w:t>86.3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第五次全国经济普查项目支出。</w:t>
      </w:r>
    </w:p>
    <w:p w:rsidR="00000000" w:rsidRDefault="004760DF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2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“社会保障和就业支出”</w:t>
      </w:r>
      <w:r>
        <w:rPr>
          <w:rFonts w:eastAsia="仿宋_GB2312" w:hint="eastAsia"/>
          <w:sz w:val="30"/>
          <w:szCs w:val="30"/>
        </w:rPr>
        <w:t>528.4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55.8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机构改革，执法大队撤销，人员转局本级，基本支出增加</w:t>
      </w:r>
      <w:r>
        <w:rPr>
          <w:rFonts w:eastAsia="仿宋_GB2312"/>
          <w:sz w:val="30"/>
          <w:szCs w:val="30"/>
        </w:rPr>
        <w:t>，其中：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 w:hint="eastAsia"/>
          <w:sz w:val="30"/>
          <w:szCs w:val="30"/>
        </w:rPr>
        <w:t>528.4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 w:hint="eastAsia"/>
          <w:sz w:val="30"/>
          <w:szCs w:val="30"/>
        </w:rPr>
        <w:t>352.3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，“机关事业单位职业年金缴费</w:t>
      </w:r>
      <w:r>
        <w:rPr>
          <w:rFonts w:eastAsia="仿宋_GB2312" w:hint="eastAsia"/>
          <w:sz w:val="30"/>
          <w:szCs w:val="30"/>
        </w:rPr>
        <w:t>支出”</w:t>
      </w:r>
      <w:r>
        <w:rPr>
          <w:rFonts w:eastAsia="仿宋_GB2312" w:hint="eastAsia"/>
          <w:sz w:val="30"/>
          <w:szCs w:val="30"/>
        </w:rPr>
        <w:t>176.1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单位社会养老保险、职业年金缴费等。</w:t>
      </w:r>
    </w:p>
    <w:p w:rsidR="00000000" w:rsidRDefault="004760DF">
      <w:pPr>
        <w:spacing w:line="580" w:lineRule="exact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3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 w:hint="eastAsia"/>
          <w:sz w:val="30"/>
          <w:szCs w:val="30"/>
        </w:rPr>
        <w:t>275.2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38.9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</w:t>
      </w:r>
      <w:r>
        <w:rPr>
          <w:rFonts w:eastAsia="仿宋_GB2312" w:hint="eastAsia"/>
          <w:sz w:val="30"/>
          <w:szCs w:val="30"/>
        </w:rPr>
        <w:t>行政事业单位医疗</w:t>
      </w:r>
      <w:r>
        <w:rPr>
          <w:rFonts w:eastAsia="仿宋_GB2312" w:hint="eastAsia"/>
          <w:sz w:val="30"/>
          <w:szCs w:val="30"/>
        </w:rPr>
        <w:t>保险单位负担比例上调</w:t>
      </w:r>
      <w:r>
        <w:rPr>
          <w:rFonts w:eastAsia="仿宋_GB2312" w:hint="eastAsia"/>
          <w:sz w:val="30"/>
          <w:szCs w:val="30"/>
        </w:rPr>
        <w:t>0.5%</w:t>
      </w:r>
      <w:r>
        <w:rPr>
          <w:rFonts w:eastAsia="仿宋_GB2312"/>
          <w:sz w:val="30"/>
          <w:szCs w:val="30"/>
        </w:rPr>
        <w:t>，其中：</w:t>
      </w:r>
    </w:p>
    <w:p w:rsidR="00000000" w:rsidRDefault="004760DF">
      <w:pPr>
        <w:spacing w:line="580" w:lineRule="exact"/>
        <w:ind w:firstLineChars="200" w:firstLine="60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 w:hint="eastAsia"/>
          <w:sz w:val="30"/>
          <w:szCs w:val="30"/>
        </w:rPr>
        <w:t>275.2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 w:hint="eastAsia"/>
          <w:sz w:val="30"/>
          <w:szCs w:val="30"/>
        </w:rPr>
        <w:t>231.2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“公务员医疗补助”</w:t>
      </w:r>
      <w:r>
        <w:rPr>
          <w:rFonts w:eastAsia="仿宋_GB2312" w:hint="eastAsia"/>
          <w:sz w:val="30"/>
          <w:szCs w:val="30"/>
        </w:rPr>
        <w:t>44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单位缴纳的职工医疗保险等。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4760D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11" w:name="_Toc78784577"/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 w:hint="eastAsia"/>
          <w:sz w:val="30"/>
          <w:szCs w:val="30"/>
        </w:rPr>
        <w:t>5179.2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514.6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机构改革，执法大队撤销，人员转局本级，</w:t>
      </w:r>
      <w:r>
        <w:rPr>
          <w:rFonts w:eastAsia="仿宋_GB2312" w:hint="eastAsia"/>
          <w:sz w:val="30"/>
          <w:szCs w:val="30"/>
        </w:rPr>
        <w:t>其中：</w:t>
      </w:r>
    </w:p>
    <w:p w:rsidR="00000000" w:rsidRDefault="004760DF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 w:hint="eastAsia"/>
          <w:sz w:val="30"/>
          <w:szCs w:val="30"/>
        </w:rPr>
        <w:t>4532.9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</w:rPr>
        <w:t>4415.9</w:t>
      </w:r>
      <w:r>
        <w:rPr>
          <w:rFonts w:eastAsia="仿宋_GB2312" w:hint="eastAsia"/>
          <w:sz w:val="30"/>
          <w:szCs w:val="30"/>
        </w:rPr>
        <w:t>万元，对个人和家庭的补助</w:t>
      </w:r>
      <w:r>
        <w:rPr>
          <w:rFonts w:eastAsia="仿宋_GB2312" w:hint="eastAsia"/>
          <w:sz w:val="30"/>
          <w:szCs w:val="30"/>
        </w:rPr>
        <w:t>117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4760DF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 w:hint="eastAsia"/>
          <w:sz w:val="30"/>
          <w:szCs w:val="30"/>
        </w:rPr>
        <w:t>646.3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</w:rPr>
        <w:t>635.4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lastRenderedPageBreak/>
        <w:t>资本性支出</w:t>
      </w:r>
      <w:r>
        <w:rPr>
          <w:rFonts w:eastAsia="仿宋_GB2312" w:hint="eastAsia"/>
          <w:sz w:val="30"/>
          <w:szCs w:val="30"/>
        </w:rPr>
        <w:t>10.9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000000" w:rsidRDefault="004760DF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4.1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。</w:t>
      </w:r>
    </w:p>
    <w:p w:rsidR="00000000" w:rsidRDefault="004760D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一般公共预算未安排因公出（境</w:t>
      </w:r>
      <w:r>
        <w:rPr>
          <w:rFonts w:eastAsia="仿宋_GB2312" w:hint="eastAsia"/>
          <w:sz w:val="30"/>
          <w:szCs w:val="30"/>
        </w:rPr>
        <w:t>）费预算</w:t>
      </w:r>
      <w:r>
        <w:rPr>
          <w:rFonts w:eastAsia="仿宋_GB2312"/>
          <w:sz w:val="30"/>
          <w:szCs w:val="30"/>
        </w:rPr>
        <w:t>。</w:t>
      </w:r>
    </w:p>
    <w:p w:rsidR="00000000" w:rsidRDefault="004760DF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一般公共预算未安排公务用车购置费预算</w:t>
      </w:r>
      <w:r>
        <w:rPr>
          <w:rFonts w:eastAsia="仿宋_GB2312"/>
          <w:sz w:val="30"/>
          <w:szCs w:val="30"/>
        </w:rPr>
        <w:t>。</w:t>
      </w:r>
    </w:p>
    <w:p w:rsidR="00000000" w:rsidRDefault="004760DF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4760DF">
      <w:pPr>
        <w:spacing w:line="600" w:lineRule="exact"/>
        <w:rPr>
          <w:rFonts w:ascii="楷体" w:eastAsia="楷体" w:hAnsi="楷体" w:cs="楷体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预算中没有使用政府性基金预算安排的支出。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4760DF">
      <w:pPr>
        <w:spacing w:line="600" w:lineRule="exact"/>
        <w:ind w:firstLine="600"/>
      </w:pP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 w:hint="eastAsia"/>
          <w:sz w:val="30"/>
          <w:szCs w:val="30"/>
        </w:rPr>
        <w:t>预算中没有使</w:t>
      </w:r>
      <w:r>
        <w:rPr>
          <w:rFonts w:eastAsia="仿宋_GB2312" w:hint="eastAsia"/>
          <w:sz w:val="30"/>
          <w:szCs w:val="30"/>
        </w:rPr>
        <w:t>用国有资本经营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 w:hint="eastAsia"/>
          <w:sz w:val="30"/>
          <w:szCs w:val="30"/>
        </w:rPr>
        <w:t>安排的支出。</w:t>
      </w:r>
    </w:p>
    <w:p w:rsidR="00000000" w:rsidRDefault="004760DF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lastRenderedPageBreak/>
        <w:t>十、其他重要事项的情况说明</w:t>
      </w:r>
    </w:p>
    <w:p w:rsidR="00000000" w:rsidRDefault="004760DF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4760DF">
      <w:pPr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天津市统计局（本级）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行政单位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 w:hint="eastAsia"/>
          <w:sz w:val="30"/>
          <w:szCs w:val="30"/>
        </w:rPr>
        <w:t>646.3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 w:hint="eastAsia"/>
          <w:sz w:val="30"/>
          <w:szCs w:val="30"/>
        </w:rPr>
        <w:t>15.7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印刷费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4.7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邮电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元、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32.9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185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差旅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租赁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43.1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培训费</w:t>
      </w:r>
      <w:r>
        <w:rPr>
          <w:rFonts w:eastAsia="仿宋_GB2312" w:hint="eastAsia"/>
          <w:sz w:val="30"/>
          <w:szCs w:val="30"/>
        </w:rPr>
        <w:t>3.0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公务接待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劳务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10.0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委托业务费</w:t>
      </w:r>
      <w:r>
        <w:rPr>
          <w:rFonts w:eastAsia="仿宋_GB2312" w:hint="eastAsia"/>
          <w:sz w:val="30"/>
          <w:szCs w:val="30"/>
        </w:rPr>
        <w:t>7.5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工会经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34.9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其他交通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 w:hint="eastAsia"/>
          <w:sz w:val="30"/>
          <w:szCs w:val="30"/>
        </w:rPr>
        <w:t>165.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其他商品和服务支出</w:t>
      </w:r>
      <w:r>
        <w:rPr>
          <w:rFonts w:eastAsia="仿宋_GB2312" w:hint="eastAsia"/>
          <w:sz w:val="30"/>
          <w:szCs w:val="30"/>
        </w:rPr>
        <w:t>46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办公设备购置</w:t>
      </w:r>
      <w:r>
        <w:rPr>
          <w:rFonts w:eastAsia="仿宋_GB2312" w:hint="eastAsia"/>
          <w:sz w:val="30"/>
          <w:szCs w:val="30"/>
        </w:rPr>
        <w:t>8.4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信息网络及软件购置更新</w:t>
      </w:r>
      <w:r>
        <w:rPr>
          <w:rFonts w:eastAsia="仿宋_GB2312"/>
          <w:sz w:val="30"/>
          <w:szCs w:val="30"/>
        </w:rPr>
        <w:t>2.5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 w:hint="eastAsia"/>
          <w:sz w:val="30"/>
          <w:szCs w:val="30"/>
        </w:rPr>
        <w:t>712.5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 w:hint="eastAsia"/>
          <w:sz w:val="30"/>
          <w:szCs w:val="30"/>
        </w:rPr>
        <w:t>万元、政府采购服务支出</w:t>
      </w:r>
      <w:r>
        <w:rPr>
          <w:rFonts w:eastAsia="仿宋_GB2312" w:hint="eastAsia"/>
          <w:sz w:val="30"/>
          <w:szCs w:val="30"/>
        </w:rPr>
        <w:t>708.9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第五次全国经济普查市级经费项目</w:t>
      </w:r>
      <w:r>
        <w:rPr>
          <w:rFonts w:eastAsia="仿宋_GB2312" w:hint="eastAsia"/>
          <w:color w:val="000000"/>
          <w:sz w:val="30"/>
          <w:szCs w:val="30"/>
        </w:rPr>
        <w:t>86.3</w:t>
      </w:r>
      <w:r>
        <w:rPr>
          <w:rFonts w:eastAsia="仿宋_GB2312" w:hint="eastAsia"/>
          <w:color w:val="000000"/>
          <w:sz w:val="30"/>
          <w:szCs w:val="30"/>
        </w:rPr>
        <w:t>万元、</w:t>
      </w:r>
      <w:r>
        <w:rPr>
          <w:rFonts w:eastAsia="仿宋_GB2312" w:hint="eastAsia"/>
          <w:color w:val="000000"/>
          <w:sz w:val="30"/>
          <w:szCs w:val="30"/>
        </w:rPr>
        <w:t>统计云工程联网直报天津数据管理节点配套建设</w:t>
      </w:r>
      <w:r>
        <w:rPr>
          <w:rFonts w:eastAsia="仿宋_GB2312" w:hint="eastAsia"/>
          <w:color w:val="000000"/>
          <w:sz w:val="30"/>
          <w:szCs w:val="30"/>
        </w:rPr>
        <w:t>-2024-</w:t>
      </w:r>
      <w:r>
        <w:rPr>
          <w:rFonts w:eastAsia="仿宋_GB2312" w:hint="eastAsia"/>
          <w:color w:val="000000"/>
          <w:sz w:val="30"/>
          <w:szCs w:val="30"/>
        </w:rPr>
        <w:t>一般债</w:t>
      </w:r>
      <w:r>
        <w:rPr>
          <w:rFonts w:eastAsia="仿宋_GB2312" w:hint="eastAsia"/>
          <w:color w:val="000000"/>
          <w:sz w:val="30"/>
          <w:szCs w:val="30"/>
        </w:rPr>
        <w:t>105</w:t>
      </w:r>
      <w:r>
        <w:rPr>
          <w:rFonts w:eastAsia="仿宋_GB2312" w:hint="eastAsia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4760DF">
      <w:pPr>
        <w:spacing w:line="600" w:lineRule="exact"/>
        <w:ind w:firstLineChars="200" w:firstLine="602"/>
        <w:rPr>
          <w:rFonts w:eastAsia="楷体_GB2312" w:hint="eastAsia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</w:t>
      </w:r>
      <w:r>
        <w:rPr>
          <w:rFonts w:eastAsia="仿宋_GB2312" w:hint="eastAsia"/>
          <w:color w:val="000000"/>
          <w:sz w:val="30"/>
          <w:szCs w:val="30"/>
        </w:rPr>
        <w:t>本</w:t>
      </w:r>
      <w:r>
        <w:rPr>
          <w:rFonts w:eastAsia="仿宋_GB2312" w:hint="eastAsia"/>
          <w:color w:val="000000"/>
          <w:sz w:val="30"/>
          <w:szCs w:val="30"/>
        </w:rPr>
        <w:t>单位</w:t>
      </w:r>
      <w:r>
        <w:rPr>
          <w:rFonts w:eastAsia="仿宋_GB2312" w:hint="eastAsia"/>
          <w:color w:val="000000"/>
          <w:sz w:val="30"/>
          <w:szCs w:val="30"/>
        </w:rPr>
        <w:t>各单位共有车辆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辆、主要负责人干部用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辆、特种专业技</w:t>
      </w:r>
      <w:r>
        <w:rPr>
          <w:rFonts w:eastAsia="仿宋_GB2312" w:hint="eastAsia"/>
          <w:sz w:val="30"/>
          <w:szCs w:val="30"/>
        </w:rPr>
        <w:t>术用车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辆、离退休干部服务用车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辆、其他用车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辆。单价（账面原值）</w:t>
      </w:r>
      <w:r>
        <w:rPr>
          <w:rFonts w:eastAsia="仿宋_GB2312" w:hint="eastAsia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万元以上的设备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台（套）。</w:t>
      </w:r>
      <w:r>
        <w:rPr>
          <w:rFonts w:eastAsia="仿宋_GB2312" w:hint="eastAsia"/>
          <w:sz w:val="30"/>
          <w:szCs w:val="30"/>
          <w:lang w:val="zh-CN"/>
        </w:rPr>
        <w:t xml:space="preserve"> 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（说明：现有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辆公务车使用和运行维护，产权在机关事务管</w:t>
      </w:r>
      <w:r>
        <w:rPr>
          <w:rFonts w:eastAsia="仿宋_GB2312" w:hint="eastAsia"/>
          <w:sz w:val="30"/>
          <w:szCs w:val="30"/>
        </w:rPr>
        <w:lastRenderedPageBreak/>
        <w:t>理局）</w:t>
      </w:r>
    </w:p>
    <w:p w:rsidR="00000000" w:rsidRDefault="004760D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000000" w:rsidRDefault="004760DF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</w:t>
      </w:r>
      <w:r>
        <w:rPr>
          <w:rFonts w:eastAsia="仿宋_GB2312" w:hint="eastAsia"/>
          <w:color w:val="000000"/>
          <w:sz w:val="30"/>
          <w:szCs w:val="30"/>
        </w:rPr>
        <w:t>单位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 w:hint="eastAsia"/>
          <w:color w:val="000000"/>
          <w:sz w:val="30"/>
          <w:szCs w:val="30"/>
        </w:rPr>
        <w:t>9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704.9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000000" w:rsidRDefault="004760DF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000000" w:rsidRDefault="004760DF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</w:t>
      </w:r>
      <w:r>
        <w:rPr>
          <w:rFonts w:eastAsia="仿宋_GB2312" w:hint="eastAsia"/>
          <w:sz w:val="30"/>
          <w:szCs w:val="30"/>
        </w:rPr>
        <w:t>预算。是指主管预算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依据相关法律、法规和政策规定及其行使职能需要，组织所属预算单位编制并逐级上报、审核、汇总，经</w:t>
      </w:r>
      <w:r>
        <w:rPr>
          <w:rFonts w:eastAsia="仿宋_GB2312" w:hint="eastAsia"/>
          <w:sz w:val="30"/>
          <w:szCs w:val="30"/>
        </w:rPr>
        <w:t>财政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审核后按程序依法批准的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综合收支计划。</w:t>
      </w:r>
    </w:p>
    <w:p w:rsidR="00000000" w:rsidRDefault="004760DF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4760DF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00000" w:rsidRDefault="004760DF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单位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预算表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收支总体情况表》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收入总体情况表》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</w:t>
      </w:r>
      <w:r>
        <w:rPr>
          <w:rFonts w:ascii="楷体_GB2312" w:eastAsia="楷体_GB2312" w:hAnsi="Times New Roman" w:hint="eastAsia"/>
          <w:b/>
          <w:sz w:val="30"/>
          <w:szCs w:val="30"/>
        </w:rPr>
        <w:t>单位</w:t>
      </w:r>
      <w:r>
        <w:rPr>
          <w:rFonts w:ascii="楷体_GB2312" w:eastAsia="楷体_GB2312" w:hAnsi="Times New Roman" w:hint="eastAsia"/>
          <w:b/>
          <w:sz w:val="30"/>
          <w:szCs w:val="30"/>
        </w:rPr>
        <w:t>支出总体情况表》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</w:t>
      </w:r>
      <w:r>
        <w:rPr>
          <w:rFonts w:ascii="楷体_GB2312" w:eastAsia="楷体_GB2312" w:hAnsi="Times New Roman" w:hint="eastAsia"/>
          <w:b/>
          <w:sz w:val="30"/>
          <w:szCs w:val="30"/>
        </w:rPr>
        <w:t>《一般公共预算“三公”经费支出情况表》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000000" w:rsidRDefault="004760DF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00000" w:rsidRDefault="004760DF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</w:t>
      </w:r>
      <w:r>
        <w:rPr>
          <w:rFonts w:eastAsia="楷体_GB2312" w:hint="eastAsia"/>
          <w:sz w:val="30"/>
          <w:szCs w:val="30"/>
        </w:rPr>
        <w:t>单位</w:t>
      </w:r>
      <w:r>
        <w:rPr>
          <w:rFonts w:eastAsia="楷体_GB2312"/>
          <w:sz w:val="30"/>
          <w:szCs w:val="30"/>
        </w:rPr>
        <w:t>202</w:t>
      </w:r>
      <w:r>
        <w:rPr>
          <w:rFonts w:eastAsia="楷体_GB2312" w:hint="eastAsia"/>
          <w:sz w:val="30"/>
          <w:szCs w:val="30"/>
        </w:rPr>
        <w:t>5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000000" w:rsidRDefault="004760DF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>本</w:t>
      </w:r>
      <w:r>
        <w:rPr>
          <w:rFonts w:eastAsia="楷体_GB2312" w:hint="eastAsia"/>
          <w:sz w:val="30"/>
          <w:szCs w:val="30"/>
        </w:rPr>
        <w:t>单位</w:t>
      </w:r>
      <w:r>
        <w:rPr>
          <w:rFonts w:eastAsia="楷体_GB2312"/>
          <w:sz w:val="30"/>
          <w:szCs w:val="30"/>
        </w:rPr>
        <w:t>202</w:t>
      </w:r>
      <w:r>
        <w:rPr>
          <w:rFonts w:eastAsia="楷体_GB2312" w:hint="eastAsia"/>
          <w:sz w:val="30"/>
          <w:szCs w:val="30"/>
        </w:rPr>
        <w:t>5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p w:rsidR="00000000" w:rsidRDefault="004760DF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p w:rsidR="004760DF" w:rsidRDefault="004760DF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4760DF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DF" w:rsidRDefault="004760DF">
      <w:pPr>
        <w:spacing w:line="240" w:lineRule="auto"/>
      </w:pPr>
      <w:r>
        <w:separator/>
      </w:r>
    </w:p>
  </w:endnote>
  <w:endnote w:type="continuationSeparator" w:id="0">
    <w:p w:rsidR="004760DF" w:rsidRDefault="00476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DejaVu Math TeX Gyre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60D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4760D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60D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60D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7018" w:rsidRPr="00137018">
      <w:rPr>
        <w:noProof/>
        <w:lang w:val="zh-CN" w:eastAsia="zh-CN"/>
      </w:rPr>
      <w:t>-</w:t>
    </w:r>
    <w:r w:rsidR="00137018" w:rsidRPr="00137018">
      <w:rPr>
        <w:noProof/>
        <w:lang w:val="en-US" w:eastAsia="zh-CN"/>
      </w:rPr>
      <w:t xml:space="preserve"> 11 -</w:t>
    </w:r>
    <w:r>
      <w:fldChar w:fldCharType="end"/>
    </w:r>
  </w:p>
  <w:p w:rsidR="00000000" w:rsidRDefault="004760D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DF" w:rsidRDefault="004760DF">
      <w:pPr>
        <w:spacing w:line="240" w:lineRule="auto"/>
      </w:pPr>
      <w:r>
        <w:separator/>
      </w:r>
    </w:p>
  </w:footnote>
  <w:footnote w:type="continuationSeparator" w:id="0">
    <w:p w:rsidR="004760DF" w:rsidRDefault="00476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60D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0F03EF"/>
    <w:multiLevelType w:val="singleLevel"/>
    <w:tmpl w:val="B70F03E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37018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0B54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1700B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50DB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760DF"/>
    <w:rsid w:val="0048352E"/>
    <w:rsid w:val="004A5DF5"/>
    <w:rsid w:val="004A6EE3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4CA2"/>
    <w:rsid w:val="00566B36"/>
    <w:rsid w:val="005717FD"/>
    <w:rsid w:val="00577762"/>
    <w:rsid w:val="00585D27"/>
    <w:rsid w:val="0058731A"/>
    <w:rsid w:val="00587691"/>
    <w:rsid w:val="0059010F"/>
    <w:rsid w:val="0059248B"/>
    <w:rsid w:val="005A4CD0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C570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E5D0B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1F3FC99A"/>
    <w:rsid w:val="1FD6528B"/>
    <w:rsid w:val="1FE34A78"/>
    <w:rsid w:val="1FFE14C4"/>
    <w:rsid w:val="268758BC"/>
    <w:rsid w:val="3557428F"/>
    <w:rsid w:val="3B7F7B25"/>
    <w:rsid w:val="3D407E3C"/>
    <w:rsid w:val="3D7EEFEF"/>
    <w:rsid w:val="3D97492F"/>
    <w:rsid w:val="3DFF43B2"/>
    <w:rsid w:val="3EBF62EA"/>
    <w:rsid w:val="3EFAB648"/>
    <w:rsid w:val="3FCB28EB"/>
    <w:rsid w:val="40956B0D"/>
    <w:rsid w:val="4BDCA482"/>
    <w:rsid w:val="4E1E02D7"/>
    <w:rsid w:val="4F204931"/>
    <w:rsid w:val="4FFF0E3A"/>
    <w:rsid w:val="4FFF4C04"/>
    <w:rsid w:val="5BAE77D9"/>
    <w:rsid w:val="5BBE40D8"/>
    <w:rsid w:val="5E7F19E8"/>
    <w:rsid w:val="5EFF0330"/>
    <w:rsid w:val="5F0F0A55"/>
    <w:rsid w:val="5F9D0C66"/>
    <w:rsid w:val="5FA72A06"/>
    <w:rsid w:val="5FF9D9F6"/>
    <w:rsid w:val="63F7D208"/>
    <w:rsid w:val="677FF644"/>
    <w:rsid w:val="67F78203"/>
    <w:rsid w:val="68FE128F"/>
    <w:rsid w:val="693A5856"/>
    <w:rsid w:val="6A2D5246"/>
    <w:rsid w:val="6BD363B4"/>
    <w:rsid w:val="6BFFE3ED"/>
    <w:rsid w:val="6DAB6D44"/>
    <w:rsid w:val="737D6DE9"/>
    <w:rsid w:val="73A82400"/>
    <w:rsid w:val="748F20DD"/>
    <w:rsid w:val="754BF36E"/>
    <w:rsid w:val="77EFDD89"/>
    <w:rsid w:val="77F554DB"/>
    <w:rsid w:val="77FB9C61"/>
    <w:rsid w:val="796DDAC1"/>
    <w:rsid w:val="79F1AD4B"/>
    <w:rsid w:val="7AFF5C64"/>
    <w:rsid w:val="7AFF97E5"/>
    <w:rsid w:val="7BF10200"/>
    <w:rsid w:val="7DFBE2AB"/>
    <w:rsid w:val="7DFD1A70"/>
    <w:rsid w:val="7E376A60"/>
    <w:rsid w:val="7E7FCBCA"/>
    <w:rsid w:val="7E9EAF7C"/>
    <w:rsid w:val="7ECE503D"/>
    <w:rsid w:val="7EFF1303"/>
    <w:rsid w:val="7F3DDC2F"/>
    <w:rsid w:val="7F4BA6ED"/>
    <w:rsid w:val="7F6B3FC8"/>
    <w:rsid w:val="7F6F5606"/>
    <w:rsid w:val="7F9EE01A"/>
    <w:rsid w:val="7FD62FDA"/>
    <w:rsid w:val="7FDDE062"/>
    <w:rsid w:val="93FAADFC"/>
    <w:rsid w:val="9FF71A68"/>
    <w:rsid w:val="AD5F4753"/>
    <w:rsid w:val="B7DF2A04"/>
    <w:rsid w:val="B7FFACD5"/>
    <w:rsid w:val="B7FFD7BE"/>
    <w:rsid w:val="BDF5480A"/>
    <w:rsid w:val="BEEB29BB"/>
    <w:rsid w:val="C757F464"/>
    <w:rsid w:val="C78E5698"/>
    <w:rsid w:val="CCFE02EF"/>
    <w:rsid w:val="CDF3227C"/>
    <w:rsid w:val="D3DB51AA"/>
    <w:rsid w:val="D5ED9B04"/>
    <w:rsid w:val="D87F408A"/>
    <w:rsid w:val="DBAF72CF"/>
    <w:rsid w:val="DD9F2489"/>
    <w:rsid w:val="DDDF7176"/>
    <w:rsid w:val="DEFFAB64"/>
    <w:rsid w:val="DFFCEA6B"/>
    <w:rsid w:val="E297433D"/>
    <w:rsid w:val="EACB8B11"/>
    <w:rsid w:val="EBFB9A15"/>
    <w:rsid w:val="EEAF7757"/>
    <w:rsid w:val="EFFC5A14"/>
    <w:rsid w:val="EFFF0601"/>
    <w:rsid w:val="F51C3534"/>
    <w:rsid w:val="F5BF1CBA"/>
    <w:rsid w:val="FAEB2056"/>
    <w:rsid w:val="FCF6C130"/>
    <w:rsid w:val="FDB3B303"/>
    <w:rsid w:val="FDB78202"/>
    <w:rsid w:val="FDFE5464"/>
    <w:rsid w:val="FE7BDB76"/>
    <w:rsid w:val="FEF87EE1"/>
    <w:rsid w:val="FF3F103F"/>
    <w:rsid w:val="FF7D0586"/>
    <w:rsid w:val="FFA79455"/>
    <w:rsid w:val="FFB10BC6"/>
    <w:rsid w:val="FF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A68D44-620E-4B9A-932D-643CB2FF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707</Words>
  <Characters>4035</Characters>
  <Application>Microsoft Office Word</Application>
  <DocSecurity>0</DocSecurity>
  <Lines>33</Lines>
  <Paragraphs>9</Paragraphs>
  <ScaleCrop>false</ScaleCrop>
  <Company>微软中国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aa</cp:lastModifiedBy>
  <cp:revision>2</cp:revision>
  <cp:lastPrinted>2022-01-23T17:13:00Z</cp:lastPrinted>
  <dcterms:created xsi:type="dcterms:W3CDTF">2025-02-28T01:33:00Z</dcterms:created>
  <dcterms:modified xsi:type="dcterms:W3CDTF">2025-02-28T01:33:00Z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1001FAE66055A4C4E295B2673ADCE245</vt:lpwstr>
  </property>
</Properties>
</file>