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D6" w:rsidRDefault="00B47DD6" w:rsidP="00B47DD6">
      <w:pPr>
        <w:widowControl/>
        <w:shd w:val="clear" w:color="auto" w:fill="FFFFFF"/>
        <w:wordWrap w:val="0"/>
        <w:spacing w:line="560" w:lineRule="atLeast"/>
        <w:rPr>
          <w:rFonts w:ascii="Times New Roman" w:eastAsia="黑体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hint="eastAsia"/>
          <w:kern w:val="0"/>
          <w:sz w:val="32"/>
          <w:szCs w:val="32"/>
          <w:shd w:val="clear" w:color="auto" w:fill="FFFFFF"/>
          <w:lang w:bidi="ar"/>
        </w:rPr>
        <w:t>附件</w:t>
      </w:r>
    </w:p>
    <w:p w:rsidR="00B47DD6" w:rsidRDefault="00B47DD6" w:rsidP="00B47DD6">
      <w:pPr>
        <w:widowControl/>
        <w:shd w:val="clear" w:color="auto" w:fill="FFFFFF"/>
        <w:wordWrap w:val="0"/>
        <w:spacing w:line="560" w:lineRule="atLeast"/>
        <w:jc w:val="center"/>
        <w:rPr>
          <w:rFonts w:ascii="Times New Roman" w:eastAsia="黑体" w:hAnsi="Times New Roman"/>
          <w:kern w:val="0"/>
          <w:sz w:val="18"/>
          <w:szCs w:val="18"/>
          <w:shd w:val="clear" w:color="auto" w:fill="FFFFFF"/>
          <w:lang w:bidi="ar"/>
        </w:rPr>
      </w:pPr>
      <w:bookmarkStart w:id="0" w:name="_GoBack"/>
      <w:r>
        <w:rPr>
          <w:rFonts w:ascii="Times New Roman" w:eastAsia="黑体" w:hAnsi="Times New Roman" w:hint="eastAsia"/>
          <w:kern w:val="0"/>
          <w:sz w:val="44"/>
          <w:szCs w:val="44"/>
          <w:shd w:val="clear" w:color="auto" w:fill="FFFFFF"/>
          <w:lang w:bidi="ar"/>
        </w:rPr>
        <w:t>天津市统计领域免罚清单（试行）</w:t>
      </w:r>
      <w:bookmarkEnd w:id="0"/>
    </w:p>
    <w:tbl>
      <w:tblPr>
        <w:tblW w:w="14733" w:type="dxa"/>
        <w:tblInd w:w="93" w:type="dxa"/>
        <w:tblLook w:val="04A0" w:firstRow="1" w:lastRow="0" w:firstColumn="1" w:lastColumn="0" w:noHBand="0" w:noVBand="1"/>
      </w:tblPr>
      <w:tblGrid>
        <w:gridCol w:w="750"/>
        <w:gridCol w:w="1683"/>
        <w:gridCol w:w="199"/>
        <w:gridCol w:w="4433"/>
        <w:gridCol w:w="453"/>
        <w:gridCol w:w="7002"/>
        <w:gridCol w:w="213"/>
      </w:tblGrid>
      <w:tr w:rsidR="00B47DD6" w:rsidTr="00B47DD6">
        <w:trPr>
          <w:trHeight w:val="6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违法行为名称</w:t>
            </w:r>
          </w:p>
        </w:tc>
        <w:tc>
          <w:tcPr>
            <w:tcW w:w="4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法定依据</w:t>
            </w:r>
          </w:p>
        </w:tc>
        <w:tc>
          <w:tcPr>
            <w:tcW w:w="7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免于行政处罚的情形</w:t>
            </w:r>
          </w:p>
        </w:tc>
      </w:tr>
      <w:tr w:rsidR="00B47DD6" w:rsidTr="00B47DD6">
        <w:trPr>
          <w:trHeight w:val="624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统计调查对象提供不真实的统计资料的</w:t>
            </w:r>
          </w:p>
        </w:tc>
        <w:tc>
          <w:tcPr>
            <w:tcW w:w="48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spacing w:line="20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《统计法》第七条：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第四十一条：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（二）提供不真实或者不完整的统计资料的；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……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企业事业单位或者其他组织有前款所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列行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为之一的，可以并处五万元以下的罚款；情节严重的，并处五万元以上二十万元以下的罚款。个体工商户有本条第一款所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列行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为之一的，由县级以上人民政府统计机构责令改正，给予警告，可以并处一万元以下的罚款。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br/>
              <w:t xml:space="preserve">    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《中华人民共和国行政处罚法》（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1996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月通过，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月第三次修正）第三十三条第一款：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违法行为轻微并及时改正，没有造成危害后果的，不予行政处罚。初次违法且危害后果轻微并及时改正的，可以不予行政处罚。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br/>
              <w:t xml:space="preserve">    3.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《天津市统计行政处罚裁量实施细则》第十三条：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统计违法行为人有下列情形之一的，可以不予行政处罚：（二）对从业人员期末人数指标差错数额在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人以下、从业人员工资总额指标差错数额在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万元以下、应付职工薪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酬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指标差错数额在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万元以下、能源消费指标差错数额在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吨标准煤以下的，经批评教育后，及时提出整改措施，并落实整改的；（四）其他依法不予行政处罚的。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spacing w:line="20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提供不真实的统计资料，具有以下情形的，违法行为轻微并及时纠正，没有造成危害后果的，不予行政处罚。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br/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通过自查发现问题或统计机构工作人员核实、查询指出问题的，利用关网前可以修订数据的机会，主动与统计机构工作人员沟通联系，及时在联网直报平台上改正数据，没有造成危害后果的。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br/>
              <w:t xml:space="preserve">    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提供不真实的统计资料，具有以下情形之一的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初次违法且危害后果轻微并及时改正的，可以不予行政处罚。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br/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）价值量指标差错率在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5%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以下且差错数额在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5000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万元以下的；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br/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）差错数额在以下额度范围内的：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br/>
              <w:t xml:space="preserve">    </w:t>
            </w:r>
            <w:proofErr w:type="gramStart"/>
            <w:r>
              <w:rPr>
                <w:rStyle w:val="font41"/>
                <w:rFonts w:ascii="Times New Roman" w:hAnsi="Times New Roman" w:hint="default"/>
                <w:lang w:bidi="ar"/>
              </w:rPr>
              <w:t>规</w:t>
            </w:r>
            <w:proofErr w:type="gramEnd"/>
            <w:r>
              <w:rPr>
                <w:rStyle w:val="font41"/>
                <w:rFonts w:ascii="Times New Roman" w:hAnsi="Times New Roman" w:hint="default"/>
                <w:lang w:bidi="ar"/>
              </w:rPr>
              <w:t>上工业：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工业总产值低于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200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万元、营业收入低于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200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固定资产投资：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本年完成投资低于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限上批发业：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商品销售额低于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200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限上零售业：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商品销售额低于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200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 xml:space="preserve">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限上住宿餐饮业：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营业额低于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建筑业：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建筑业总产值低于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房地产业：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商品房销售面积低于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2000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平方米、应付职工薪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proofErr w:type="gramStart"/>
            <w:r>
              <w:rPr>
                <w:rStyle w:val="font41"/>
                <w:rFonts w:ascii="Times New Roman" w:hAnsi="Times New Roman" w:hint="default"/>
                <w:lang w:bidi="ar"/>
              </w:rPr>
              <w:t>规</w:t>
            </w:r>
            <w:proofErr w:type="gramEnd"/>
            <w:r>
              <w:rPr>
                <w:rStyle w:val="font41"/>
                <w:rFonts w:ascii="Times New Roman" w:hAnsi="Times New Roman" w:hint="default"/>
                <w:lang w:bidi="ar"/>
              </w:rPr>
              <w:t>上服务业：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应付职工薪</w:t>
            </w:r>
            <w:proofErr w:type="gramStart"/>
            <w:r>
              <w:rPr>
                <w:rStyle w:val="font31"/>
                <w:rFonts w:ascii="Times New Roman" w:hAnsi="Times New Roman" w:hint="default"/>
                <w:lang w:bidi="ar"/>
              </w:rPr>
              <w:t>酬</w:t>
            </w:r>
            <w:proofErr w:type="gramEnd"/>
            <w:r>
              <w:rPr>
                <w:rStyle w:val="font31"/>
                <w:rFonts w:ascii="Times New Roman" w:hAnsi="Times New Roman" w:hint="default"/>
                <w:lang w:bidi="ar"/>
              </w:rPr>
              <w:t>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万元、应交增值税低于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万元、营业收入低于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万元、本年折旧低于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100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万元、营业利润低于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能源：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煤炭消费量合计低于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20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吨标准煤、电力消费合计低于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20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吨标准煤；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劳动工资：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从业人员期末人数低于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人、从业人员工资总额低于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万元；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br/>
              <w:t xml:space="preserve">    </w:t>
            </w:r>
            <w:r>
              <w:rPr>
                <w:rStyle w:val="font41"/>
                <w:rFonts w:ascii="Times New Roman" w:hAnsi="Times New Roman" w:hint="default"/>
                <w:lang w:bidi="ar"/>
              </w:rPr>
              <w:t>企业研发：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研究开发人员合计低于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人、研究开发费用合计低于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50</w:t>
            </w:r>
            <w:r>
              <w:rPr>
                <w:rStyle w:val="font31"/>
                <w:rFonts w:ascii="Times New Roman" w:hAnsi="Times New Roman" w:hint="default"/>
                <w:lang w:bidi="ar"/>
              </w:rPr>
              <w:t>万元。</w:t>
            </w:r>
          </w:p>
        </w:tc>
      </w:tr>
      <w:tr w:rsidR="00B47DD6" w:rsidTr="00B47DD6">
        <w:trPr>
          <w:trHeight w:val="7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违法行为名称</w:t>
            </w:r>
          </w:p>
        </w:tc>
        <w:tc>
          <w:tcPr>
            <w:tcW w:w="4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法定依据</w:t>
            </w:r>
          </w:p>
        </w:tc>
        <w:tc>
          <w:tcPr>
            <w:tcW w:w="7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免于行政处罚的情形</w:t>
            </w:r>
          </w:p>
        </w:tc>
      </w:tr>
      <w:tr w:rsidR="00B47DD6" w:rsidTr="00B47DD6">
        <w:trPr>
          <w:trHeight w:val="768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统计调查对象提供不完整的统计资料的</w:t>
            </w:r>
          </w:p>
        </w:tc>
        <w:tc>
          <w:tcPr>
            <w:tcW w:w="48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《统计法》第七条：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第四十一条：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（二）提供不真实或者不完整的统计资料的；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……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企业事业单位或者其他组织有前款所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列行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为之一的，可以并处五万元以下的罚款；情节严重的，并处五万元以上二十万元以下的罚款。个体工商户有本条第一款所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列行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为之一的，由县级以上人民政府统计机构责令改正，给予警告，可以并处一万元以下的罚款。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《中华人民共和国行政处罚法》（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1996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月通过，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月第三次修正）第三十三条第一款：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违法行为轻微并及时改正，没有造成危害后果的，不予行政处罚。初次违法且危害后果轻微并及时改正的，可以不予行政处罚。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3.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《天津市统计行政处罚裁量实施细则》第七条：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统计违法行为人提供不完整统计资料的，市和区统计局按照下列规定予以处罚：（一）在同一张统计调查表中，指标漏填率在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10%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以下的，对企业事业单位或者其他组织可以给予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‘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警告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提供不完整的统计资料，具有以下情形的，违法行为轻微并及时纠正，没有造成危害后果的，不予行政处罚。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通过自查发现问题或统计机构工作人员核实、查询指出问题的，利用关网前可以修订数据的机会，主动与统计机构工作人员沟通联系，及时在联网直报平台上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补充填全应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填报统计指标，没有造成危害后果的。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提供不完整的统计资料，具有以下情形的，初次违法且危害后果轻微并及时改正的，可以不予行政处罚。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在同一张统计调查表中，指标漏填率在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10%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以下的。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B47DD6" w:rsidTr="00B47DD6">
        <w:trPr>
          <w:gridAfter w:val="1"/>
          <w:wAfter w:w="213" w:type="dxa"/>
          <w:trHeight w:val="9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违法行为名称</w:t>
            </w:r>
          </w:p>
        </w:tc>
        <w:tc>
          <w:tcPr>
            <w:tcW w:w="4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法定依据</w:t>
            </w:r>
          </w:p>
        </w:tc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免于行政处罚的情形</w:t>
            </w:r>
          </w:p>
        </w:tc>
      </w:tr>
      <w:tr w:rsidR="00B47DD6" w:rsidTr="00B47DD6">
        <w:trPr>
          <w:gridAfter w:val="1"/>
          <w:wAfter w:w="213" w:type="dxa"/>
          <w:trHeight w:val="637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统计调查对象未按照国家有关规定设置原始记录、统计台账的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《统计法》第四十二条：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作为统计调查对象的国家机关、企业事业单位或者其他组织迟报统计资料，或者未按照国家有关规定设置原始记录、统计台账的，由县级以上人民政府统计机构责令改正，给予警告。企业事业单位或者其他组织有前款所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列行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为之一的，可以并处一万元以下的罚款。个体工商户迟报统计资料的，由县级以上人民政府统计机构责令改正，给予警告，可以并处一千元以下的罚款。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《中华人民共和国行政处罚法》（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1996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月通过，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月第三次修正）第三十三条第一款：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违法行为轻微并及时改正，没有造成危害后果的，不予行政处罚。初次违法且危害后果轻微并及时改正的，可以不予行政处罚。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3.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《天津市统计行政处罚裁量实施细则》第十二条：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统计违法行为人未按规定设置原始记录、统计台帐，市和区统计局按照下列规定予以处罚：（一）未按照国家有关规定设置原始记录、统计台帐，但有其他相关资料能直接或间接证明其统计数据准确性的，且经核实上报统计数据准确，对企业事业单位或者其他组织可以给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‘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警告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或者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‘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警告并处以二千元以下罚款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”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未按照国家有关规定设置原始记录、统计台账，具有以下情形的，违法行为轻微并及时纠正，没有造成危害后果的，不予行政处罚。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通过自查发现问题或统计机构工作人员指出问题后，及时改正，且通过其他相关资料能直接或间接证明其统计数据准确性的，且经核实上报统计数据准确，没有造成危害后果。</w:t>
            </w:r>
          </w:p>
          <w:p w:rsidR="00B47DD6" w:rsidRDefault="00B47DD6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    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 w:bidi="ar"/>
              </w:rPr>
              <w:t>未按照国家有关规定设置原始记录、统计台账，初次违法且危害后果轻微并及时改正的，可以不予行政处罚。</w:t>
            </w:r>
          </w:p>
        </w:tc>
      </w:tr>
    </w:tbl>
    <w:p w:rsidR="00B47DD6" w:rsidRDefault="00B47DD6" w:rsidP="00B47DD6">
      <w:pPr>
        <w:widowControl/>
        <w:jc w:val="left"/>
        <w:sectPr w:rsidR="00B47DD6">
          <w:pgSz w:w="16838" w:h="11906" w:orient="landscape"/>
          <w:pgMar w:top="1134" w:right="1134" w:bottom="1134" w:left="1134" w:header="851" w:footer="1565" w:gutter="0"/>
          <w:pgNumType w:fmt="numberInDash"/>
          <w:cols w:space="720"/>
          <w:docGrid w:type="linesAndChars" w:linePitch="294" w:charSpace="-1844"/>
        </w:sectPr>
      </w:pPr>
    </w:p>
    <w:p w:rsidR="005A5155" w:rsidRPr="00B47DD6" w:rsidRDefault="005A5155" w:rsidP="00B47DD6">
      <w:pPr>
        <w:widowControl/>
        <w:jc w:val="left"/>
      </w:pPr>
    </w:p>
    <w:sectPr w:rsidR="005A5155" w:rsidRPr="00B4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13" w:rsidRDefault="00BE0013" w:rsidP="00B47DD6">
      <w:r>
        <w:separator/>
      </w:r>
    </w:p>
  </w:endnote>
  <w:endnote w:type="continuationSeparator" w:id="0">
    <w:p w:rsidR="00BE0013" w:rsidRDefault="00BE0013" w:rsidP="00B4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13" w:rsidRDefault="00BE0013" w:rsidP="00B47DD6">
      <w:r>
        <w:separator/>
      </w:r>
    </w:p>
  </w:footnote>
  <w:footnote w:type="continuationSeparator" w:id="0">
    <w:p w:rsidR="00BE0013" w:rsidRDefault="00BE0013" w:rsidP="00B4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69"/>
    <w:rsid w:val="005A5155"/>
    <w:rsid w:val="00AC2469"/>
    <w:rsid w:val="00B47DD6"/>
    <w:rsid w:val="00B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DD6"/>
    <w:rPr>
      <w:sz w:val="18"/>
      <w:szCs w:val="18"/>
    </w:rPr>
  </w:style>
  <w:style w:type="character" w:customStyle="1" w:styleId="font41">
    <w:name w:val="font41"/>
    <w:basedOn w:val="a0"/>
    <w:qFormat/>
    <w:rsid w:val="00B47DD6"/>
    <w:rPr>
      <w:rFonts w:ascii="仿宋_GB2312" w:eastAsia="仿宋_GB2312" w:hAnsi="Calibri" w:cs="仿宋_GB2312" w:hint="eastAsia"/>
      <w:b/>
      <w:b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qFormat/>
    <w:rsid w:val="00B47DD6"/>
    <w:rPr>
      <w:rFonts w:ascii="仿宋_GB2312" w:eastAsia="仿宋_GB2312" w:hAnsi="Calibri" w:cs="仿宋_GB2312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DD6"/>
    <w:rPr>
      <w:sz w:val="18"/>
      <w:szCs w:val="18"/>
    </w:rPr>
  </w:style>
  <w:style w:type="character" w:customStyle="1" w:styleId="font41">
    <w:name w:val="font41"/>
    <w:basedOn w:val="a0"/>
    <w:qFormat/>
    <w:rsid w:val="00B47DD6"/>
    <w:rPr>
      <w:rFonts w:ascii="仿宋_GB2312" w:eastAsia="仿宋_GB2312" w:hAnsi="Calibri" w:cs="仿宋_GB2312" w:hint="eastAsia"/>
      <w:b/>
      <w:b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qFormat/>
    <w:rsid w:val="00B47DD6"/>
    <w:rPr>
      <w:rFonts w:ascii="仿宋_GB2312" w:eastAsia="仿宋_GB2312" w:hAnsi="Calibri" w:cs="仿宋_GB2312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1D73-1BC1-4A9E-B7A9-F04945CA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桑磊</dc:creator>
  <cp:keywords/>
  <dc:description/>
  <cp:lastModifiedBy>桑磊</cp:lastModifiedBy>
  <cp:revision>2</cp:revision>
  <dcterms:created xsi:type="dcterms:W3CDTF">2021-07-08T09:28:00Z</dcterms:created>
  <dcterms:modified xsi:type="dcterms:W3CDTF">2021-07-08T09:30:00Z</dcterms:modified>
</cp:coreProperties>
</file>