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6" w:rsidRDefault="00B47DD6" w:rsidP="00B47DD6">
      <w:pPr>
        <w:widowControl/>
        <w:shd w:val="clear" w:color="auto" w:fill="FFFFFF"/>
        <w:wordWrap w:val="0"/>
        <w:spacing w:line="560" w:lineRule="atLeast"/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黑体" w:hAnsi="Times New Roman" w:hint="eastAsia"/>
          <w:kern w:val="0"/>
          <w:sz w:val="32"/>
          <w:szCs w:val="32"/>
          <w:shd w:val="clear" w:color="auto" w:fill="FFFFFF"/>
          <w:lang w:bidi="ar"/>
        </w:rPr>
        <w:t>附件</w:t>
      </w:r>
    </w:p>
    <w:p w:rsidR="00B47DD6" w:rsidRDefault="00B47DD6" w:rsidP="00B47DD6">
      <w:pPr>
        <w:widowControl/>
        <w:shd w:val="clear" w:color="auto" w:fill="FFFFFF"/>
        <w:wordWrap w:val="0"/>
        <w:spacing w:line="560" w:lineRule="atLeast"/>
        <w:jc w:val="center"/>
        <w:rPr>
          <w:rFonts w:ascii="Times New Roman" w:eastAsia="黑体" w:hAnsi="Times New Roman"/>
          <w:kern w:val="0"/>
          <w:sz w:val="18"/>
          <w:szCs w:val="18"/>
          <w:shd w:val="clear" w:color="auto" w:fill="FFFFFF"/>
          <w:lang w:bidi="ar"/>
        </w:rPr>
      </w:pPr>
      <w:bookmarkStart w:id="0" w:name="_GoBack"/>
      <w:r>
        <w:rPr>
          <w:rFonts w:ascii="Times New Roman" w:eastAsia="黑体" w:hAnsi="Times New Roman" w:hint="eastAsia"/>
          <w:kern w:val="0"/>
          <w:sz w:val="44"/>
          <w:szCs w:val="44"/>
          <w:shd w:val="clear" w:color="auto" w:fill="FFFFFF"/>
          <w:lang w:bidi="ar"/>
        </w:rPr>
        <w:t>天津市统计领域免罚清单（试行）</w:t>
      </w:r>
      <w:bookmarkEnd w:id="0"/>
    </w:p>
    <w:tbl>
      <w:tblPr>
        <w:tblW w:w="14733" w:type="dxa"/>
        <w:tblInd w:w="93" w:type="dxa"/>
        <w:tblLook w:val="04A0" w:firstRow="1" w:lastRow="0" w:firstColumn="1" w:lastColumn="0" w:noHBand="0" w:noVBand="1"/>
      </w:tblPr>
      <w:tblGrid>
        <w:gridCol w:w="750"/>
        <w:gridCol w:w="1683"/>
        <w:gridCol w:w="199"/>
        <w:gridCol w:w="4433"/>
        <w:gridCol w:w="453"/>
        <w:gridCol w:w="7002"/>
        <w:gridCol w:w="213"/>
      </w:tblGrid>
      <w:tr w:rsidR="00B47DD6" w:rsidTr="00B47DD6">
        <w:trPr>
          <w:trHeight w:val="69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违法行为名称</w:t>
            </w:r>
          </w:p>
        </w:tc>
        <w:tc>
          <w:tcPr>
            <w:tcW w:w="4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法定依据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免于行政处罚的情形</w:t>
            </w:r>
          </w:p>
        </w:tc>
      </w:tr>
      <w:tr w:rsidR="00B47DD6" w:rsidTr="00B47DD6">
        <w:trPr>
          <w:trHeight w:val="624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统计调查对象提供不真实的统计资料的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spacing w:line="20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《统计法》第七条：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第四十一条：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作为统计调查对象的国家机关、企业事业单位或者其他组织有下列行为之一的，由县级以上人民政府统计机构责令改正，给予警告，可以予以通报；其直接负责的主管人员和其他直接责任人员属于国家工作人员的，由任免机关或者监察机关依法给予处分：（二）提供不真实或者不完整的统计资料的；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……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企业事业单位或者其他组织有前款所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列行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为之一的，可以并处五万元以下的罚款；情节严重的，并处五万元以上二十万元以下的罚款。个体工商户有本条第一款所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列行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为之一的，由县级以上人民政府统计机构责令改正，给予警告，可以并处一万元以下的罚款。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《中华人民共和国行政处罚法》（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1996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月通过，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月第三次修正）第三十三条第一款：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违法行为轻微并及时改正，没有造成危害后果的，不予行政处罚。初次违法且危害后果轻微并及时改正的，可以不予行政处罚。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《天津市统计行政处罚裁量实施细则》第十三条：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统计违法行为人有下列情形之一的，可以不予行政处罚：（二）对从业人员期末人数指标差错数额在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人以下、从业人员工资总额指标差错数额在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万元以下、应付职工薪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酬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指标差错数额在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万元以下、能源消费指标差错数额在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吨标准煤以下的，经批评教育后，及时提出整改措施，并落实整改的；（四）其他依法不予行政处罚的。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spacing w:line="20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提供不真实的统计资料，具有以下情形的，违法行为轻微并及时纠正，没有造成危害后果的，不予行政处罚。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通过自查发现问题或统计机构工作人员核实、查询指出问题的，利用关网前可以修订数据的机会，主动与统计机构工作人员沟通联系，及时在联网直报平台上改正数据，没有造成危害后果的。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提供不真实的统计资料，具有以下情形之一的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初次违法且危害后果轻微并及时改正的，可以不予行政处罚。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）价值量指标差错率在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以下且差错数额在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5000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万元以下的；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）差错数额在以下额度范围内的：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  <w:t xml:space="preserve">    </w:t>
            </w:r>
            <w:proofErr w:type="gramStart"/>
            <w:r>
              <w:rPr>
                <w:rStyle w:val="font41"/>
                <w:rFonts w:ascii="Times New Roman" w:hAnsi="Times New Roman" w:hint="default"/>
                <w:lang w:bidi="ar"/>
              </w:rPr>
              <w:t>规</w:t>
            </w:r>
            <w:proofErr w:type="gramEnd"/>
            <w:r>
              <w:rPr>
                <w:rStyle w:val="font41"/>
                <w:rFonts w:ascii="Times New Roman" w:hAnsi="Times New Roman" w:hint="default"/>
                <w:lang w:bidi="ar"/>
              </w:rPr>
              <w:t>上工业：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工业总产值低于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万元、营业收入低于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固定资产投资：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本年完成投资低于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限上批发业：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商品销售额低于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限上零售业：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商品销售额低于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 xml:space="preserve">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限上住宿餐饮业：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营业额低于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建筑业：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建筑业总产值低于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房地产业：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商品房销售面积低于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平方米、应付职工薪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proofErr w:type="gramStart"/>
            <w:r>
              <w:rPr>
                <w:rStyle w:val="font41"/>
                <w:rFonts w:ascii="Times New Roman" w:hAnsi="Times New Roman" w:hint="default"/>
                <w:lang w:bidi="ar"/>
              </w:rPr>
              <w:t>规</w:t>
            </w:r>
            <w:proofErr w:type="gramEnd"/>
            <w:r>
              <w:rPr>
                <w:rStyle w:val="font41"/>
                <w:rFonts w:ascii="Times New Roman" w:hAnsi="Times New Roman" w:hint="default"/>
                <w:lang w:bidi="ar"/>
              </w:rPr>
              <w:t>上服务业：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应付职工薪</w:t>
            </w:r>
            <w:proofErr w:type="gramStart"/>
            <w:r>
              <w:rPr>
                <w:rStyle w:val="font31"/>
                <w:rFonts w:ascii="Times New Roman" w:hAnsi="Times New Roman" w:hint="default"/>
                <w:lang w:bidi="ar"/>
              </w:rPr>
              <w:t>酬</w:t>
            </w:r>
            <w:proofErr w:type="gramEnd"/>
            <w:r>
              <w:rPr>
                <w:rStyle w:val="font31"/>
                <w:rFonts w:ascii="Times New Roman" w:hAnsi="Times New Roman" w:hint="default"/>
                <w:lang w:bidi="ar"/>
              </w:rPr>
              <w:t>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万元、应交增值税低于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万元、营业收入低于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万元、本年折旧低于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100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万元、营业利润低于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能源：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煤炭消费量合计低于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吨标准煤、电力消费合计低于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吨标准煤；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劳动工资：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从业人员期末人数低于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人、从业人员工资总额低于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万元；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br/>
              <w:t xml:space="preserve">    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企业研发：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研究开发人员合计低于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人、研究开发费用合计低于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50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万元。</w:t>
            </w:r>
          </w:p>
        </w:tc>
      </w:tr>
      <w:tr w:rsidR="00B47DD6" w:rsidTr="00B47DD6">
        <w:trPr>
          <w:trHeight w:val="7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违法行为名称</w:t>
            </w:r>
          </w:p>
        </w:tc>
        <w:tc>
          <w:tcPr>
            <w:tcW w:w="4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法定依据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免于行政处罚的情形</w:t>
            </w:r>
          </w:p>
        </w:tc>
      </w:tr>
      <w:tr w:rsidR="00B47DD6" w:rsidTr="00B47DD6">
        <w:trPr>
          <w:trHeight w:val="768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统计调查对象提供不完整的统计资料的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《统计法》第七条：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第四十一条：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作为统计调查对象的国家机关、企业事业单位或者其他组织有下列行为之一的，由县级以上人民政府统计机构责令改正，给予警告，可以予以通报；其直接负责的主管人员和其他直接责任人员属于国家工作人员的，由任免机关或者监察机关依法给予处分：（二）提供不真实或者不完整的统计资料的；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……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企业事业单位或者其他组织有前款所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列行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为之一的，可以并处五万元以下的罚款；情节严重的，并处五万元以上二十万元以下的罚款。个体工商户有本条第一款所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列行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为之一的，由县级以上人民政府统计机构责令改正，给予警告，可以并处一万元以下的罚款。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《中华人民共和国行政处罚法》（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1996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月通过，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月第三次修正）第三十三条第一款：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违法行为轻微并及时改正，没有造成危害后果的，不予行政处罚。初次违法且危害后果轻微并及时改正的，可以不予行政处罚。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《天津市统计行政处罚裁量实施细则》第七条：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统计违法行为人提供不完整统计资料的，市和区统计局按照下列规定予以处罚：（一）在同一张统计调查表中，指标漏填率在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以下的，对企业事业单位或者其他组织可以给予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‘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警告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提供不完整的统计资料，具有以下情形的，违法行为轻微并及时纠正，没有造成危害后果的，不予行政处罚。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通过自查发现问题或统计机构工作人员核实、查询指出问题的，利用关网前可以修订数据的机会，主动与统计机构工作人员沟通联系，及时在联网直报平台上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补充填全应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填报统计指标，没有造成危害后果的。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提供不完整的统计资料，具有以下情形的，初次违法且危害后果轻微并及时改正的，可以不予行政处罚。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在同一张统计调查表中，指标漏填率在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以下的。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B47DD6" w:rsidTr="00B47DD6">
        <w:trPr>
          <w:gridAfter w:val="1"/>
          <w:wAfter w:w="213" w:type="dxa"/>
          <w:trHeight w:val="9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违法行为名称</w:t>
            </w:r>
          </w:p>
        </w:tc>
        <w:tc>
          <w:tcPr>
            <w:tcW w:w="4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法定依据</w:t>
            </w:r>
          </w:p>
        </w:tc>
        <w:tc>
          <w:tcPr>
            <w:tcW w:w="7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lang w:bidi="ar"/>
              </w:rPr>
              <w:t>免于行政处罚的情形</w:t>
            </w:r>
          </w:p>
        </w:tc>
      </w:tr>
      <w:tr w:rsidR="00B47DD6" w:rsidTr="00B47DD6">
        <w:trPr>
          <w:gridAfter w:val="1"/>
          <w:wAfter w:w="213" w:type="dxa"/>
          <w:trHeight w:val="63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统计调查对象未按照国家有关规定设置原始记录、统计台账的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《统计法》第四十二条：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作为统计调查对象的国家机关、企业事业单位或者其他组织迟报统计资料，或者未按照国家有关规定设置原始记录、统计台账的，由县级以上人民政府统计机构责令改正，给予警告。企业事业单位或者其他组织有前款所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列行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为之一的，可以并处一万元以下的罚款。个体工商户迟报统计资料的，由县级以上人民政府统计机构责令改正，给予警告，可以并处一千元以下的罚款。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《中华人民共和国行政处罚法》（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1996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月通过，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月第三次修正）第三十三条第一款：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违法行为轻微并及时改正，没有造成危害后果的，不予行政处罚。初次违法且危害后果轻微并及时改正的，可以不予行政处罚。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《天津市统计行政处罚裁量实施细则》第十二条：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统计违法行为人未按规定设置原始记录、统计台帐，市和区统计局按照下列规定予以处罚：（一）未按照国家有关规定设置原始记录、统计台帐，但有其他相关资料能直接或间接证明其统计数据准确性的，且经核实上报统计数据准确，对企业事业单位或者其他组织可以给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‘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警告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或者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‘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警告并处以二千元以下罚款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未按照国家有关规定设置原始记录、统计台账，具有以下情形的，违法行为轻微并及时纠正，没有造成危害后果的，不予行政处罚。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通过自查发现问题或统计机构工作人员指出问题后，及时改正，且通过其他相关资料能直接或间接证明其统计数据准确性的，且经核实上报统计数据准确，没有造成危害后果。</w:t>
            </w:r>
          </w:p>
          <w:p w:rsidR="00B47DD6" w:rsidRDefault="00B47DD6">
            <w:pPr>
              <w:widowControl/>
              <w:spacing w:line="280" w:lineRule="exac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    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未按照国家有关规定设置原始记录、统计台账，初次违法且危害后果轻微并及时改正的，可以不予行政处罚。</w:t>
            </w:r>
          </w:p>
        </w:tc>
      </w:tr>
    </w:tbl>
    <w:p w:rsidR="00B47DD6" w:rsidRDefault="00B47DD6" w:rsidP="00B47DD6">
      <w:pPr>
        <w:widowControl/>
        <w:jc w:val="left"/>
        <w:sectPr w:rsidR="00B47DD6">
          <w:pgSz w:w="16838" w:h="11906" w:orient="landscape"/>
          <w:pgMar w:top="1134" w:right="1134" w:bottom="1134" w:left="1134" w:header="851" w:footer="1565" w:gutter="0"/>
          <w:pgNumType w:fmt="numberInDash"/>
          <w:cols w:space="720"/>
          <w:docGrid w:type="linesAndChars" w:linePitch="294" w:charSpace="-1844"/>
        </w:sectPr>
      </w:pPr>
    </w:p>
    <w:p w:rsidR="005A5155" w:rsidRPr="00B47DD6" w:rsidRDefault="005A5155" w:rsidP="00B47DD6">
      <w:pPr>
        <w:widowControl/>
        <w:jc w:val="left"/>
      </w:pPr>
    </w:p>
    <w:sectPr w:rsidR="005A5155" w:rsidRPr="00B4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3" w:rsidRDefault="00BE0013" w:rsidP="00B47DD6">
      <w:r>
        <w:separator/>
      </w:r>
    </w:p>
  </w:endnote>
  <w:endnote w:type="continuationSeparator" w:id="0">
    <w:p w:rsidR="00BE0013" w:rsidRDefault="00BE0013" w:rsidP="00B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3" w:rsidRDefault="00BE0013" w:rsidP="00B47DD6">
      <w:r>
        <w:separator/>
      </w:r>
    </w:p>
  </w:footnote>
  <w:footnote w:type="continuationSeparator" w:id="0">
    <w:p w:rsidR="00BE0013" w:rsidRDefault="00BE0013" w:rsidP="00B4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69"/>
    <w:rsid w:val="005A5155"/>
    <w:rsid w:val="00AC2469"/>
    <w:rsid w:val="00B47DD6"/>
    <w:rsid w:val="00B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DD6"/>
    <w:rPr>
      <w:sz w:val="18"/>
      <w:szCs w:val="18"/>
    </w:rPr>
  </w:style>
  <w:style w:type="character" w:customStyle="1" w:styleId="font41">
    <w:name w:val="font41"/>
    <w:basedOn w:val="a0"/>
    <w:qFormat/>
    <w:rsid w:val="00B47DD6"/>
    <w:rPr>
      <w:rFonts w:ascii="仿宋_GB2312" w:eastAsia="仿宋_GB2312" w:hAnsi="Calibri" w:cs="仿宋_GB2312" w:hint="eastAsia"/>
      <w:b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qFormat/>
    <w:rsid w:val="00B47DD6"/>
    <w:rPr>
      <w:rFonts w:ascii="仿宋_GB2312" w:eastAsia="仿宋_GB2312" w:hAnsi="Calibri" w:cs="仿宋_GB2312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DD6"/>
    <w:rPr>
      <w:sz w:val="18"/>
      <w:szCs w:val="18"/>
    </w:rPr>
  </w:style>
  <w:style w:type="character" w:customStyle="1" w:styleId="font41">
    <w:name w:val="font41"/>
    <w:basedOn w:val="a0"/>
    <w:qFormat/>
    <w:rsid w:val="00B47DD6"/>
    <w:rPr>
      <w:rFonts w:ascii="仿宋_GB2312" w:eastAsia="仿宋_GB2312" w:hAnsi="Calibri" w:cs="仿宋_GB2312" w:hint="eastAsia"/>
      <w:b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qFormat/>
    <w:rsid w:val="00B47DD6"/>
    <w:rPr>
      <w:rFonts w:ascii="仿宋_GB2312" w:eastAsia="仿宋_GB2312" w:hAnsi="Calibri" w:cs="仿宋_GB2312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1D73-1BC1-4A9E-B7A9-F04945C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桑磊</dc:creator>
  <cp:keywords/>
  <dc:description/>
  <cp:lastModifiedBy>桑磊</cp:lastModifiedBy>
  <cp:revision>2</cp:revision>
  <dcterms:created xsi:type="dcterms:W3CDTF">2021-07-08T09:28:00Z</dcterms:created>
  <dcterms:modified xsi:type="dcterms:W3CDTF">2021-07-08T09:30:00Z</dcterms:modified>
</cp:coreProperties>
</file>